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1B08D3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26C4F">
        <w:rPr>
          <w:rFonts w:ascii="Calibri" w:hAnsi="Calibri"/>
        </w:rPr>
        <w:t>ARM9</w:t>
      </w:r>
      <w:r w:rsidRPr="007A395D">
        <w:rPr>
          <w:rFonts w:ascii="Calibri" w:hAnsi="Calibri"/>
        </w:rPr>
        <w:t>-</w:t>
      </w:r>
      <w:r w:rsidR="003228D9">
        <w:rPr>
          <w:rFonts w:ascii="Calibri" w:hAnsi="Calibri"/>
        </w:rPr>
        <w:t>3.4</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05AEDEC" w:rsidR="0080294B" w:rsidRPr="007A395D" w:rsidRDefault="00726C4F" w:rsidP="00F36489">
      <w:pPr>
        <w:pStyle w:val="BodyText"/>
        <w:rPr>
          <w:b/>
        </w:rPr>
      </w:pPr>
      <w:proofErr w:type="gramStart"/>
      <w:r>
        <w:rPr>
          <w:b/>
        </w:rPr>
        <w:t>x</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0360E9">
        <w:rPr>
          <w:b/>
        </w:rPr>
        <w:t>x</w:t>
      </w:r>
      <w:r w:rsidR="0080294B"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63DCE936"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3228D9">
        <w:t>3</w:t>
      </w:r>
      <w:bookmarkStart w:id="0" w:name="_GoBack"/>
      <w:bookmarkEnd w:id="0"/>
    </w:p>
    <w:p w14:paraId="6CFA6142" w14:textId="1A79DFFA"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0360E9">
        <w:t xml:space="preserve">IALA Recommendation O-139 </w:t>
      </w:r>
      <w:r w:rsidR="00726C4F">
        <w:t>M</w:t>
      </w:r>
      <w:r w:rsidR="000360E9">
        <w:t>a</w:t>
      </w:r>
      <w:r w:rsidR="00726C4F">
        <w:t xml:space="preserve">rking </w:t>
      </w:r>
      <w:r w:rsidR="000360E9">
        <w:t xml:space="preserve">on </w:t>
      </w:r>
    </w:p>
    <w:p w14:paraId="55182615" w14:textId="7C75E841" w:rsidR="000360E9" w:rsidRDefault="000360E9" w:rsidP="00677FAA">
      <w:pPr>
        <w:pStyle w:val="BodyText"/>
      </w:pPr>
      <w:r>
        <w:tab/>
      </w:r>
      <w:r>
        <w:tab/>
      </w:r>
      <w:r>
        <w:tab/>
      </w:r>
      <w:r>
        <w:tab/>
      </w:r>
      <w:r>
        <w:tab/>
      </w:r>
      <w:r>
        <w:tab/>
        <w:t>The Marking of Man-Made Offshore Structures</w:t>
      </w:r>
    </w:p>
    <w:p w14:paraId="5C721796" w14:textId="6E968466" w:rsidR="00677FAA" w:rsidRPr="007A395D" w:rsidRDefault="00677FAA" w:rsidP="00677FAA">
      <w:pPr>
        <w:pStyle w:val="BodyText"/>
      </w:pPr>
      <w:r>
        <w:t>Working Group</w:t>
      </w:r>
      <w:r>
        <w:tab/>
      </w:r>
      <w:r>
        <w:tab/>
      </w:r>
      <w:r>
        <w:tab/>
      </w:r>
      <w:r>
        <w:tab/>
      </w:r>
      <w:r>
        <w:tab/>
      </w:r>
      <w:proofErr w:type="gramStart"/>
      <w:r w:rsidR="00CC2DCC">
        <w:t xml:space="preserve">WG  </w:t>
      </w:r>
      <w:r>
        <w:t>…</w:t>
      </w:r>
      <w:proofErr w:type="gramEnd"/>
      <w:r>
        <w:t>………………………</w:t>
      </w:r>
    </w:p>
    <w:p w14:paraId="7206561F" w14:textId="72B72467" w:rsidR="001C2A2E"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677FAA">
        <w:tab/>
      </w:r>
      <w:r w:rsidR="001C2A2E">
        <w:t>Mathias Polschinski, Member of ARM-committee</w:t>
      </w:r>
    </w:p>
    <w:p w14:paraId="10AF7E1E" w14:textId="466E1ADD" w:rsidR="003430C9" w:rsidRDefault="001C2A2E" w:rsidP="00F36489">
      <w:pPr>
        <w:pStyle w:val="BodyText"/>
      </w:pPr>
      <w:r>
        <w:tab/>
      </w:r>
      <w:r>
        <w:tab/>
      </w:r>
      <w:r>
        <w:tab/>
      </w:r>
      <w:r>
        <w:tab/>
      </w:r>
      <w:r>
        <w:tab/>
      </w:r>
      <w:r>
        <w:tab/>
      </w:r>
      <w:r w:rsidR="003430C9">
        <w:t>Frank Hermann, Member of ENG-committee</w:t>
      </w:r>
    </w:p>
    <w:p w14:paraId="01FC5420" w14:textId="27FED01F" w:rsidR="00362CD9" w:rsidRPr="000360E9" w:rsidRDefault="003430C9" w:rsidP="00F36489">
      <w:pPr>
        <w:pStyle w:val="BodyText"/>
        <w:rPr>
          <w:color w:val="000000" w:themeColor="text1"/>
        </w:rPr>
      </w:pPr>
      <w:r>
        <w:tab/>
      </w:r>
      <w:r>
        <w:tab/>
      </w:r>
      <w:r>
        <w:tab/>
      </w:r>
      <w:r>
        <w:tab/>
      </w:r>
      <w:r>
        <w:tab/>
      </w:r>
      <w:r>
        <w:tab/>
        <w:t xml:space="preserve">German </w:t>
      </w:r>
      <w:r w:rsidR="003F2CDB">
        <w:t xml:space="preserve">Federal </w:t>
      </w:r>
      <w:r>
        <w:t>Waterway and Shipping Administration</w:t>
      </w:r>
    </w:p>
    <w:p w14:paraId="60BCC120" w14:textId="77777777" w:rsidR="0080294B" w:rsidRPr="000360E9" w:rsidRDefault="0080294B" w:rsidP="00F36489">
      <w:pPr>
        <w:pStyle w:val="BodyText"/>
        <w:rPr>
          <w:color w:val="000000" w:themeColor="text1"/>
        </w:rPr>
      </w:pPr>
    </w:p>
    <w:p w14:paraId="4834080C" w14:textId="0E96FB16" w:rsidR="00A446C9" w:rsidRPr="00CC2DCC" w:rsidRDefault="0019715B" w:rsidP="00F36489">
      <w:pPr>
        <w:pStyle w:val="Title"/>
        <w:rPr>
          <w:color w:val="00558C"/>
        </w:rPr>
      </w:pPr>
      <w:r>
        <w:rPr>
          <w:color w:val="00558C"/>
        </w:rPr>
        <w:t xml:space="preserve">Revision of IALA-Recommendation O-139 </w:t>
      </w:r>
      <w:r w:rsidR="003430C9">
        <w:rPr>
          <w:color w:val="00558C"/>
        </w:rPr>
        <w:t>on The Marking o</w:t>
      </w:r>
      <w:r w:rsidR="00B842E1">
        <w:rPr>
          <w:color w:val="00558C"/>
        </w:rPr>
        <w:t>f Man-Made Offshore Structures</w:t>
      </w:r>
    </w:p>
    <w:p w14:paraId="0F258596" w14:textId="50FB6E37" w:rsidR="00A446C9" w:rsidRPr="004D4B1B" w:rsidRDefault="00A446C9" w:rsidP="00AF40A0">
      <w:pPr>
        <w:pStyle w:val="Heading1"/>
        <w:ind w:left="0" w:firstLine="0"/>
      </w:pPr>
      <w:r w:rsidRPr="009B5263">
        <w:t>Summary</w:t>
      </w:r>
    </w:p>
    <w:p w14:paraId="726B5C13" w14:textId="34A5DEC8" w:rsidR="00913812" w:rsidRDefault="00EC5D4D" w:rsidP="00913812">
      <w:pPr>
        <w:pStyle w:val="BodyText"/>
      </w:pPr>
      <w:r>
        <w:t xml:space="preserve">Many wind farms have been marked according to IALA Recommendation O-139. </w:t>
      </w:r>
      <w:r w:rsidR="00913812">
        <w:t>However, t</w:t>
      </w:r>
      <w:r>
        <w:t xml:space="preserve">he requirement of a 15 metres high painting has </w:t>
      </w:r>
      <w:r w:rsidR="00913812">
        <w:t xml:space="preserve">been detected as a severe obstacle for the </w:t>
      </w:r>
      <w:r w:rsidR="00913812">
        <w:rPr>
          <w:lang w:val="en-US" w:eastAsia="de-DE"/>
        </w:rPr>
        <w:t>profitable efficiency of Offshore Wind Energy</w:t>
      </w:r>
      <w:r w:rsidR="00913812">
        <w:t>. The industry is asking for alternative markings.</w:t>
      </w:r>
    </w:p>
    <w:p w14:paraId="3C575A26" w14:textId="1BB847F4" w:rsidR="001C44A3" w:rsidRPr="00605E43" w:rsidRDefault="00B842E1" w:rsidP="003D1643">
      <w:pPr>
        <w:pStyle w:val="Heading2"/>
      </w:pPr>
      <w:r w:rsidRPr="00605E43">
        <w:t>Purpose of the document</w:t>
      </w:r>
    </w:p>
    <w:p w14:paraId="66D367E6" w14:textId="77777777" w:rsidR="00913812" w:rsidRDefault="00913812" w:rsidP="00F36489">
      <w:pPr>
        <w:pStyle w:val="BodyText"/>
      </w:pPr>
      <w:r>
        <w:t xml:space="preserve">The Committee is requested </w:t>
      </w:r>
    </w:p>
    <w:p w14:paraId="7E2A4642" w14:textId="1E7BA9BD" w:rsidR="00E55927" w:rsidRDefault="00913812" w:rsidP="00913812">
      <w:pPr>
        <w:pStyle w:val="Bullet1"/>
      </w:pPr>
      <w:r>
        <w:t>to consider whether the 15 metres high paintings is still necessary for the marking of a single wind turbine of an Offshore Wind Farm,</w:t>
      </w:r>
    </w:p>
    <w:p w14:paraId="198500C8" w14:textId="44D472A0" w:rsidR="00913812" w:rsidRDefault="00913812" w:rsidP="00913812">
      <w:pPr>
        <w:pStyle w:val="Bullet1"/>
      </w:pPr>
      <w:r>
        <w:t xml:space="preserve">to develop a new marking </w:t>
      </w:r>
      <w:proofErr w:type="gramStart"/>
      <w:r>
        <w:t>taking into account</w:t>
      </w:r>
      <w:proofErr w:type="gramEnd"/>
      <w:r>
        <w:t xml:space="preserve"> the maintenance of such a marking.</w:t>
      </w:r>
    </w:p>
    <w:p w14:paraId="36D645BE" w14:textId="77777777" w:rsidR="00B56BDF" w:rsidRPr="007A395D" w:rsidRDefault="00B56BDF" w:rsidP="00913812">
      <w:pPr>
        <w:pStyle w:val="Heading2"/>
      </w:pPr>
      <w:r w:rsidRPr="007A395D">
        <w:t>Related documents</w:t>
      </w:r>
    </w:p>
    <w:p w14:paraId="4966EF97" w14:textId="77777777" w:rsidR="003D1643" w:rsidRDefault="00913812" w:rsidP="003D1643">
      <w:pPr>
        <w:pStyle w:val="BodyText"/>
      </w:pPr>
      <w:r>
        <w:t xml:space="preserve">See Reference </w:t>
      </w:r>
      <w:r>
        <w:fldChar w:fldCharType="begin"/>
      </w:r>
      <w:r>
        <w:instrText xml:space="preserve"> REF _Ref530472473 \r \h </w:instrText>
      </w:r>
      <w:r>
        <w:fldChar w:fldCharType="separate"/>
      </w:r>
      <w:r w:rsidR="00784C6A">
        <w:t>6</w:t>
      </w:r>
      <w:r>
        <w:fldChar w:fldCharType="end"/>
      </w:r>
      <w:r>
        <w:t>.</w:t>
      </w:r>
    </w:p>
    <w:p w14:paraId="53733F03" w14:textId="0D025B8F" w:rsidR="00A446C9" w:rsidRPr="007A395D" w:rsidRDefault="00A446C9" w:rsidP="003D1643">
      <w:pPr>
        <w:pStyle w:val="Heading1"/>
      </w:pPr>
      <w:r w:rsidRPr="007A395D">
        <w:t>Background</w:t>
      </w:r>
    </w:p>
    <w:p w14:paraId="72D53648" w14:textId="71AFFF86" w:rsidR="003F2CDB" w:rsidRDefault="003F2CDB" w:rsidP="003F2CDB">
      <w:pPr>
        <w:pStyle w:val="BodyText"/>
      </w:pPr>
      <w:r>
        <w:t xml:space="preserve">The IALA Recommendation O-139 is the basis for many </w:t>
      </w:r>
      <w:r w:rsidR="00220BA8">
        <w:t>O</w:t>
      </w:r>
      <w:r>
        <w:t>ffshore Structures worldwide. The latest edition collected the recommendations on different offshore structures into a single document.</w:t>
      </w:r>
    </w:p>
    <w:p w14:paraId="465751FC" w14:textId="6AB3073B" w:rsidR="003F2CDB" w:rsidRDefault="003F2CDB" w:rsidP="003F2CDB">
      <w:pPr>
        <w:pStyle w:val="BodyText"/>
      </w:pPr>
      <w:r>
        <w:t xml:space="preserve">The German Federal Waterway and Shipping Administration uses the IALA-Recommendation O-139 (and the previous O-117) for more than 10 years to fix the specifications of </w:t>
      </w:r>
      <w:r w:rsidR="00220BA8">
        <w:t>O</w:t>
      </w:r>
      <w:r>
        <w:t xml:space="preserve">ffshore </w:t>
      </w:r>
      <w:r w:rsidR="00220BA8">
        <w:t>W</w:t>
      </w:r>
      <w:r>
        <w:t xml:space="preserve">ind </w:t>
      </w:r>
      <w:r w:rsidR="00220BA8">
        <w:t>F</w:t>
      </w:r>
      <w:r>
        <w:t>arms in the German exclusive economic zone (EEZ) and territorial waters.</w:t>
      </w:r>
    </w:p>
    <w:p w14:paraId="3A15A1C9" w14:textId="77777777" w:rsidR="003D1643" w:rsidRDefault="00D63B4A" w:rsidP="003D1643">
      <w:pPr>
        <w:pStyle w:val="BodyText"/>
      </w:pPr>
      <w:proofErr w:type="gramStart"/>
      <w:r>
        <w:lastRenderedPageBreak/>
        <w:t>However</w:t>
      </w:r>
      <w:proofErr w:type="gramEnd"/>
      <w:r>
        <w:t xml:space="preserve"> a heated debate came up in Germany how to handle the 15 m high yellow painting on each wind turbine.</w:t>
      </w:r>
      <w:r w:rsidR="004C604D">
        <w:t xml:space="preserve"> This painting is very </w:t>
      </w:r>
      <w:proofErr w:type="gramStart"/>
      <w:r w:rsidR="004C604D">
        <w:t>expensive</w:t>
      </w:r>
      <w:proofErr w:type="gramEnd"/>
      <w:r w:rsidR="004C604D">
        <w:t xml:space="preserve"> and it is assumed that in cannot be repainted offshore at all. </w:t>
      </w:r>
      <w:proofErr w:type="gramStart"/>
      <w:r w:rsidR="004C604D">
        <w:t>Therefore</w:t>
      </w:r>
      <w:proofErr w:type="gramEnd"/>
      <w:r w:rsidR="004C604D">
        <w:t xml:space="preserve"> it is claimed that the 15 m high painting makes offshore windfarms economical</w:t>
      </w:r>
      <w:r w:rsidR="00ED5DA5">
        <w:t>ly</w:t>
      </w:r>
      <w:r w:rsidR="004C604D">
        <w:t xml:space="preserve"> inefficient.</w:t>
      </w:r>
      <w:r w:rsidR="00ED5DA5">
        <w:t xml:space="preserve"> The discussion</w:t>
      </w:r>
      <w:r>
        <w:t xml:space="preserve"> led to the conclusion that IALA-Re</w:t>
      </w:r>
      <w:r w:rsidR="0030689C">
        <w:t>commendations O-139 and R0108 (</w:t>
      </w:r>
      <w:r w:rsidR="00B712C3">
        <w:t>s</w:t>
      </w:r>
      <w:r>
        <w:t>ur</w:t>
      </w:r>
      <w:r w:rsidR="0030689C">
        <w:t>face</w:t>
      </w:r>
      <w:r w:rsidR="00B712C3">
        <w:t xml:space="preserve"> c</w:t>
      </w:r>
      <w:r>
        <w:t>olours) do not present the state of art marki</w:t>
      </w:r>
      <w:r w:rsidR="004C604D">
        <w:t xml:space="preserve">ng </w:t>
      </w:r>
      <w:r w:rsidR="000E780B">
        <w:t>o</w:t>
      </w:r>
      <w:r w:rsidR="004C604D">
        <w:t xml:space="preserve">f </w:t>
      </w:r>
      <w:r>
        <w:t>offshore wind turbines and therefore should not be used anymore.</w:t>
      </w:r>
    </w:p>
    <w:p w14:paraId="041E9135" w14:textId="6AEC6C31" w:rsidR="00A446C9" w:rsidRDefault="00A446C9" w:rsidP="003D1643">
      <w:pPr>
        <w:pStyle w:val="Heading1"/>
      </w:pPr>
      <w:r w:rsidRPr="007A395D">
        <w:t>Discussion</w:t>
      </w:r>
    </w:p>
    <w:p w14:paraId="3C3D3C07" w14:textId="69F1C8A6" w:rsidR="00BA73E2" w:rsidRDefault="00BA73E2" w:rsidP="00BA73E2">
      <w:pPr>
        <w:pStyle w:val="BodyText"/>
      </w:pPr>
      <w:r>
        <w:t>The discussion in Germany about offshore wind</w:t>
      </w:r>
      <w:r w:rsidR="0030689C">
        <w:t xml:space="preserve"> </w:t>
      </w:r>
      <w:r>
        <w:t>turbines led to the following demands:</w:t>
      </w:r>
    </w:p>
    <w:p w14:paraId="5D68047F" w14:textId="0F3D9F45" w:rsidR="00CD2E4A" w:rsidRDefault="00CD2E4A" w:rsidP="00CD2E4A">
      <w:pPr>
        <w:pStyle w:val="List1"/>
      </w:pPr>
      <w:r>
        <w:t>enlarge</w:t>
      </w:r>
      <w:r w:rsidR="00BA73E2">
        <w:t xml:space="preserve"> the </w:t>
      </w:r>
      <w:r>
        <w:t>recommended colour regions of R0108</w:t>
      </w:r>
      <w:r w:rsidR="008D2747">
        <w:t xml:space="preserve"> or CIE 093.2-1983</w:t>
      </w:r>
      <w:r>
        <w:t>,</w:t>
      </w:r>
    </w:p>
    <w:p w14:paraId="3D01A354" w14:textId="4A13D2DD" w:rsidR="00CD2E4A" w:rsidRDefault="00CD2E4A" w:rsidP="00CD2E4A">
      <w:pPr>
        <w:pStyle w:val="List1"/>
      </w:pPr>
      <w:r>
        <w:t>give up measuring colour and repainting</w:t>
      </w:r>
      <w:r w:rsidR="008D2747">
        <w:t>,</w:t>
      </w:r>
    </w:p>
    <w:p w14:paraId="257E260B" w14:textId="77777777" w:rsidR="003D1643" w:rsidRDefault="00CD2E4A" w:rsidP="003D1643">
      <w:pPr>
        <w:pStyle w:val="List1"/>
      </w:pPr>
      <w:r>
        <w:t>remove the 15 m high yellow painting from O-139</w:t>
      </w:r>
      <w:r w:rsidR="008D2747">
        <w:t>.</w:t>
      </w:r>
    </w:p>
    <w:p w14:paraId="73BBA83E" w14:textId="45AE5642" w:rsidR="004C604D" w:rsidRPr="003D1643" w:rsidRDefault="003D1643" w:rsidP="003D1643">
      <w:pPr>
        <w:pStyle w:val="Heading2"/>
        <w:numPr>
          <w:ilvl w:val="0"/>
          <w:numId w:val="0"/>
        </w:numPr>
      </w:pPr>
      <w:r w:rsidRPr="003D1643">
        <w:t xml:space="preserve">3.1 </w:t>
      </w:r>
      <w:r w:rsidR="00BA73E2" w:rsidRPr="003D1643">
        <w:t xml:space="preserve">IALA Documents on </w:t>
      </w:r>
      <w:r w:rsidR="00AF40A0" w:rsidRPr="003D1643">
        <w:t xml:space="preserve">Surface Colours </w:t>
      </w:r>
      <w:r w:rsidR="00BA73E2" w:rsidRPr="003D1643">
        <w:t xml:space="preserve">used as Visual Signal on </w:t>
      </w:r>
      <w:proofErr w:type="spellStart"/>
      <w:r w:rsidR="00BA73E2" w:rsidRPr="003D1643">
        <w:t>AtoN</w:t>
      </w:r>
      <w:proofErr w:type="spellEnd"/>
    </w:p>
    <w:p w14:paraId="4AF8E69A" w14:textId="07F684CC" w:rsidR="00BA73E2" w:rsidRDefault="00BA73E2" w:rsidP="00F36489">
      <w:pPr>
        <w:pStyle w:val="BodyText"/>
      </w:pPr>
      <w:r>
        <w:t>IALA provides two documents on surface colours:</w:t>
      </w:r>
    </w:p>
    <w:p w14:paraId="49B38B5F" w14:textId="2F368F01" w:rsidR="00BA73E2" w:rsidRDefault="00BA73E2" w:rsidP="00BA73E2">
      <w:pPr>
        <w:pStyle w:val="Bullet1"/>
      </w:pPr>
      <w:r>
        <w:t>Recommendation R0108</w:t>
      </w:r>
    </w:p>
    <w:p w14:paraId="63B8EBC8" w14:textId="06286D02" w:rsidR="00BA73E2" w:rsidRDefault="00BA73E2" w:rsidP="00BA73E2">
      <w:pPr>
        <w:pStyle w:val="Bullet1"/>
      </w:pPr>
      <w:r>
        <w:t>Guideline G1134</w:t>
      </w:r>
    </w:p>
    <w:p w14:paraId="5C384641" w14:textId="51955C88" w:rsidR="00BA73E2" w:rsidRDefault="00BA73E2" w:rsidP="00F36489">
      <w:pPr>
        <w:pStyle w:val="BodyText"/>
        <w:rPr>
          <w:rFonts w:asciiTheme="minorHAnsi" w:hAnsiTheme="minorHAnsi" w:cs="Arial"/>
          <w:lang w:eastAsia="de-DE"/>
        </w:rPr>
      </w:pPr>
      <w:r>
        <w:rPr>
          <w:rFonts w:asciiTheme="minorHAnsi" w:hAnsiTheme="minorHAnsi" w:cs="Arial"/>
          <w:lang w:eastAsia="de-DE"/>
        </w:rPr>
        <w:t>The conten</w:t>
      </w:r>
      <w:r w:rsidR="0030689C">
        <w:rPr>
          <w:rFonts w:asciiTheme="minorHAnsi" w:hAnsiTheme="minorHAnsi" w:cs="Arial"/>
          <w:lang w:eastAsia="de-DE"/>
        </w:rPr>
        <w:t xml:space="preserve">t of both comes from </w:t>
      </w:r>
      <w:r w:rsidR="00B712C3">
        <w:rPr>
          <w:rFonts w:asciiTheme="minorHAnsi" w:hAnsiTheme="minorHAnsi" w:cs="Arial"/>
          <w:lang w:eastAsia="de-DE"/>
        </w:rPr>
        <w:t>the former recommendation E-108.</w:t>
      </w:r>
    </w:p>
    <w:p w14:paraId="0BD6FC2F" w14:textId="31F028C0" w:rsidR="00B712C3" w:rsidRDefault="00B712C3" w:rsidP="00F36489">
      <w:pPr>
        <w:pStyle w:val="BodyText"/>
        <w:rPr>
          <w:rFonts w:asciiTheme="minorHAnsi" w:hAnsiTheme="minorHAnsi" w:cs="Arial"/>
          <w:lang w:eastAsia="de-DE"/>
        </w:rPr>
      </w:pPr>
      <w:r>
        <w:rPr>
          <w:rFonts w:asciiTheme="minorHAnsi" w:hAnsiTheme="minorHAnsi" w:cs="Arial"/>
          <w:lang w:eastAsia="de-DE"/>
        </w:rPr>
        <w:t xml:space="preserve">The recommended </w:t>
      </w:r>
      <w:r w:rsidR="006503AC">
        <w:rPr>
          <w:rFonts w:asciiTheme="minorHAnsi" w:hAnsiTheme="minorHAnsi" w:cs="Arial"/>
          <w:lang w:eastAsia="de-DE"/>
        </w:rPr>
        <w:t xml:space="preserve">IALA </w:t>
      </w:r>
      <w:r>
        <w:rPr>
          <w:rFonts w:asciiTheme="minorHAnsi" w:hAnsiTheme="minorHAnsi" w:cs="Arial"/>
          <w:lang w:eastAsia="de-DE"/>
        </w:rPr>
        <w:t>colour region</w:t>
      </w:r>
      <w:r w:rsidR="006503AC">
        <w:rPr>
          <w:rFonts w:asciiTheme="minorHAnsi" w:hAnsiTheme="minorHAnsi" w:cs="Arial"/>
          <w:lang w:eastAsia="de-DE"/>
        </w:rPr>
        <w:t>s</w:t>
      </w:r>
      <w:r>
        <w:rPr>
          <w:rFonts w:asciiTheme="minorHAnsi" w:hAnsiTheme="minorHAnsi" w:cs="Arial"/>
          <w:lang w:eastAsia="de-DE"/>
        </w:rPr>
        <w:t xml:space="preserve"> </w:t>
      </w:r>
      <w:r w:rsidR="006503AC">
        <w:rPr>
          <w:rFonts w:asciiTheme="minorHAnsi" w:hAnsiTheme="minorHAnsi" w:cs="Arial"/>
          <w:lang w:eastAsia="de-DE"/>
        </w:rPr>
        <w:t xml:space="preserve">in R0108 </w:t>
      </w:r>
      <w:r>
        <w:rPr>
          <w:rFonts w:asciiTheme="minorHAnsi" w:hAnsiTheme="minorHAnsi" w:cs="Arial"/>
          <w:lang w:eastAsia="de-DE"/>
        </w:rPr>
        <w:t xml:space="preserve">are </w:t>
      </w:r>
      <w:r w:rsidR="006503AC">
        <w:rPr>
          <w:rFonts w:asciiTheme="minorHAnsi" w:hAnsiTheme="minorHAnsi" w:cs="Arial"/>
          <w:lang w:eastAsia="de-DE"/>
        </w:rPr>
        <w:t xml:space="preserve">the same as in </w:t>
      </w:r>
      <w:r w:rsidR="006503AC" w:rsidRPr="006503AC">
        <w:rPr>
          <w:rFonts w:asciiTheme="minorHAnsi" w:hAnsiTheme="minorHAnsi" w:cs="Arial"/>
          <w:lang w:eastAsia="de-DE"/>
        </w:rPr>
        <w:t>CIE Publication 039.2-1983 for Surface Colours for Visual Signalling</w:t>
      </w:r>
      <w:r w:rsidR="006503AC">
        <w:rPr>
          <w:rFonts w:asciiTheme="minorHAnsi" w:hAnsiTheme="minorHAnsi" w:cs="Arial"/>
          <w:lang w:eastAsia="de-DE"/>
        </w:rPr>
        <w:t>. They are based on elaborate investigations and are in use for many applications in visual signalling for more than thirty years.</w:t>
      </w:r>
    </w:p>
    <w:p w14:paraId="4BF162E6" w14:textId="3606C7F7" w:rsidR="005765BF" w:rsidRDefault="005765BF" w:rsidP="00F36489">
      <w:pPr>
        <w:pStyle w:val="BodyText"/>
        <w:rPr>
          <w:rFonts w:asciiTheme="minorHAnsi" w:hAnsiTheme="minorHAnsi" w:cs="Arial"/>
          <w:lang w:eastAsia="de-DE"/>
        </w:rPr>
      </w:pPr>
      <w:r>
        <w:rPr>
          <w:rFonts w:asciiTheme="minorHAnsi" w:hAnsiTheme="minorHAnsi" w:cs="Arial"/>
          <w:lang w:eastAsia="de-DE"/>
        </w:rPr>
        <w:t>According to IALA guideline 1134, chapter 2.7 the regions themselves are extreme values which should not be transgressed. They are intended to apply throughout the entire service life.</w:t>
      </w:r>
    </w:p>
    <w:p w14:paraId="45618F14" w14:textId="34A0B964" w:rsidR="00C07A3D" w:rsidRDefault="009064EA" w:rsidP="00C07A3D">
      <w:pPr>
        <w:pStyle w:val="BodyText"/>
        <w:rPr>
          <w:rFonts w:asciiTheme="minorHAnsi" w:hAnsiTheme="minorHAnsi" w:cs="Arial"/>
          <w:lang w:eastAsia="de-DE"/>
        </w:rPr>
      </w:pPr>
      <w:r>
        <w:rPr>
          <w:rFonts w:asciiTheme="minorHAnsi" w:hAnsiTheme="minorHAnsi" w:cs="Arial"/>
          <w:lang w:eastAsia="de-DE"/>
        </w:rPr>
        <w:t xml:space="preserve">In many cases </w:t>
      </w:r>
      <w:r w:rsidR="005765BF">
        <w:rPr>
          <w:rFonts w:asciiTheme="minorHAnsi" w:hAnsiTheme="minorHAnsi" w:cs="Arial"/>
          <w:lang w:eastAsia="de-DE"/>
        </w:rPr>
        <w:t xml:space="preserve">it is </w:t>
      </w:r>
      <w:r w:rsidR="00C07A3D">
        <w:rPr>
          <w:rFonts w:asciiTheme="minorHAnsi" w:hAnsiTheme="minorHAnsi" w:cs="Arial"/>
          <w:lang w:eastAsia="de-DE"/>
        </w:rPr>
        <w:t xml:space="preserve">often </w:t>
      </w:r>
      <w:r w:rsidR="005765BF">
        <w:rPr>
          <w:rFonts w:asciiTheme="minorHAnsi" w:hAnsiTheme="minorHAnsi" w:cs="Arial"/>
          <w:lang w:eastAsia="de-DE"/>
        </w:rPr>
        <w:t xml:space="preserve">suitable to </w:t>
      </w:r>
      <w:r>
        <w:rPr>
          <w:rFonts w:asciiTheme="minorHAnsi" w:hAnsiTheme="minorHAnsi" w:cs="Arial"/>
          <w:lang w:eastAsia="de-DE"/>
        </w:rPr>
        <w:t xml:space="preserve">define </w:t>
      </w:r>
      <w:r w:rsidR="00C07A3D">
        <w:rPr>
          <w:rFonts w:asciiTheme="minorHAnsi" w:hAnsiTheme="minorHAnsi" w:cs="Arial"/>
          <w:lang w:eastAsia="de-DE"/>
        </w:rPr>
        <w:t xml:space="preserve">even </w:t>
      </w:r>
      <w:r>
        <w:rPr>
          <w:rFonts w:asciiTheme="minorHAnsi" w:hAnsiTheme="minorHAnsi" w:cs="Arial"/>
          <w:lang w:eastAsia="de-DE"/>
        </w:rPr>
        <w:t xml:space="preserve">more restrictive limits. This can be done in order to harmonize the visual appearance of all daymarks in </w:t>
      </w:r>
      <w:r w:rsidR="00880173">
        <w:rPr>
          <w:rFonts w:asciiTheme="minorHAnsi" w:hAnsiTheme="minorHAnsi" w:cs="Arial"/>
          <w:lang w:eastAsia="de-DE"/>
        </w:rPr>
        <w:t xml:space="preserve">a </w:t>
      </w:r>
      <w:r>
        <w:rPr>
          <w:rFonts w:asciiTheme="minorHAnsi" w:hAnsiTheme="minorHAnsi" w:cs="Arial"/>
          <w:lang w:eastAsia="de-DE"/>
        </w:rPr>
        <w:t xml:space="preserve">certain region. A second aim is to get a very narrow specification for new colours far away from the limits of R0108. </w:t>
      </w:r>
      <w:r w:rsidR="00C07A3D">
        <w:rPr>
          <w:rFonts w:asciiTheme="minorHAnsi" w:hAnsiTheme="minorHAnsi" w:cs="Arial"/>
          <w:lang w:eastAsia="de-DE"/>
        </w:rPr>
        <w:t>This may help to ensure that the degradation of pigments may not shift the colour outside the specified region of the IALA recommendation too soon.</w:t>
      </w:r>
    </w:p>
    <w:p w14:paraId="4C2FF4C6" w14:textId="66CE1EC1" w:rsidR="003D1643" w:rsidRPr="003D1643" w:rsidRDefault="00C07A3D" w:rsidP="003D1643">
      <w:pPr>
        <w:pStyle w:val="BodyText"/>
        <w:pBdr>
          <w:top w:val="single" w:sz="4" w:space="1" w:color="auto"/>
          <w:left w:val="single" w:sz="4" w:space="4" w:color="auto"/>
          <w:bottom w:val="single" w:sz="4" w:space="1" w:color="auto"/>
          <w:right w:val="single" w:sz="4" w:space="4" w:color="auto"/>
        </w:pBdr>
        <w:rPr>
          <w:rFonts w:asciiTheme="minorHAnsi" w:hAnsiTheme="minorHAnsi" w:cs="Arial"/>
          <w:lang w:eastAsia="de-DE"/>
        </w:rPr>
      </w:pPr>
      <w:r>
        <w:rPr>
          <w:rFonts w:asciiTheme="minorHAnsi" w:hAnsiTheme="minorHAnsi" w:cs="Arial"/>
          <w:lang w:eastAsia="de-DE"/>
        </w:rPr>
        <w:t xml:space="preserve">As a </w:t>
      </w:r>
      <w:proofErr w:type="gramStart"/>
      <w:r>
        <w:rPr>
          <w:rFonts w:asciiTheme="minorHAnsi" w:hAnsiTheme="minorHAnsi" w:cs="Arial"/>
          <w:lang w:eastAsia="de-DE"/>
        </w:rPr>
        <w:t>result</w:t>
      </w:r>
      <w:proofErr w:type="gramEnd"/>
      <w:r>
        <w:rPr>
          <w:rFonts w:asciiTheme="minorHAnsi" w:hAnsiTheme="minorHAnsi" w:cs="Arial"/>
          <w:lang w:eastAsia="de-DE"/>
        </w:rPr>
        <w:t xml:space="preserve"> it should be avoided to make any changes to the IALA and CIE regions for surface colours for visual signalling.</w:t>
      </w:r>
    </w:p>
    <w:p w14:paraId="2722FCA6" w14:textId="0C7EAF41" w:rsidR="006503AC" w:rsidRDefault="003D1643" w:rsidP="003D1643">
      <w:pPr>
        <w:pStyle w:val="Heading2"/>
        <w:numPr>
          <w:ilvl w:val="0"/>
          <w:numId w:val="0"/>
        </w:numPr>
        <w:rPr>
          <w:lang w:eastAsia="de-DE"/>
        </w:rPr>
      </w:pPr>
      <w:r>
        <w:rPr>
          <w:lang w:eastAsia="de-DE"/>
        </w:rPr>
        <w:t xml:space="preserve">3.2 </w:t>
      </w:r>
      <w:r w:rsidR="008D2747">
        <w:rPr>
          <w:lang w:eastAsia="de-DE"/>
        </w:rPr>
        <w:t>Accept deterioration of surface colours</w:t>
      </w:r>
    </w:p>
    <w:p w14:paraId="67ADC560" w14:textId="3EA082B0" w:rsidR="008D2747" w:rsidRDefault="008D2747" w:rsidP="00F36489">
      <w:pPr>
        <w:pStyle w:val="BodyText"/>
      </w:pPr>
      <w:r>
        <w:t>A solution which is proposed from windfarm industry is to apply 15 metres high painting when the structure is build. After that no further work is done to preserve the colour of the structure.</w:t>
      </w:r>
    </w:p>
    <w:p w14:paraId="37938896" w14:textId="35B091FD" w:rsidR="008D2747" w:rsidRDefault="008D2747" w:rsidP="00F36489">
      <w:pPr>
        <w:pStyle w:val="BodyText"/>
      </w:pPr>
      <w:r>
        <w:t>In this case the degradation of colour (in general fading towards white or grey) or the fouling (</w:t>
      </w:r>
      <w:r w:rsidR="00F3188D">
        <w:t xml:space="preserve">turns the surface into </w:t>
      </w:r>
      <w:r>
        <w:t xml:space="preserve">brown or black) </w:t>
      </w:r>
      <w:r w:rsidR="008D2769">
        <w:t>should be</w:t>
      </w:r>
      <w:r>
        <w:t xml:space="preserve"> accepted</w:t>
      </w:r>
      <w:r w:rsidR="00D1654B">
        <w:t xml:space="preserve"> by the competent authority</w:t>
      </w:r>
      <w:r>
        <w:t>.</w:t>
      </w:r>
    </w:p>
    <w:p w14:paraId="309C4F7D" w14:textId="6A4B622F" w:rsidR="00F3188D" w:rsidRDefault="00F3188D" w:rsidP="00F36489">
      <w:pPr>
        <w:pStyle w:val="BodyText"/>
      </w:pPr>
      <w:r>
        <w:t>The proposal means that for a short time a yellow painting is required and</w:t>
      </w:r>
      <w:r w:rsidR="00FC723E">
        <w:t xml:space="preserve"> for the rest of the lifetime of the structure it is not.</w:t>
      </w:r>
    </w:p>
    <w:p w14:paraId="108570F7" w14:textId="7525F913" w:rsidR="00FC723E" w:rsidRDefault="00FC723E" w:rsidP="00F36489">
      <w:pPr>
        <w:pStyle w:val="BodyText"/>
      </w:pPr>
      <w:r>
        <w:t>This is very inconsistent and directly leads to the question, why a 15 metres high yellow painting should be implemented at all.</w:t>
      </w:r>
    </w:p>
    <w:p w14:paraId="4CD13634" w14:textId="04AF9A75" w:rsidR="00FC723E" w:rsidRDefault="00D1654B" w:rsidP="00D1654B">
      <w:pPr>
        <w:pStyle w:val="BodyText"/>
        <w:pBdr>
          <w:top w:val="single" w:sz="4" w:space="1" w:color="auto"/>
          <w:left w:val="single" w:sz="4" w:space="4" w:color="auto"/>
          <w:bottom w:val="single" w:sz="4" w:space="1" w:color="auto"/>
          <w:right w:val="single" w:sz="4" w:space="4" w:color="auto"/>
        </w:pBdr>
      </w:pPr>
      <w:r>
        <w:t>According to the idea of the IALA recommendations every colour which is used for visual signalling on daymarks should fulfil the requirements throughout its entire service life (</w:t>
      </w:r>
      <w:r w:rsidR="00946766">
        <w:t xml:space="preserve">see </w:t>
      </w:r>
      <w:r>
        <w:t>IALA Guideline 1134).</w:t>
      </w:r>
    </w:p>
    <w:p w14:paraId="24E5F707" w14:textId="7315FB9F" w:rsidR="008D2769" w:rsidRDefault="003D1643" w:rsidP="003D1643">
      <w:pPr>
        <w:pStyle w:val="Heading2"/>
        <w:numPr>
          <w:ilvl w:val="0"/>
          <w:numId w:val="0"/>
        </w:numPr>
      </w:pPr>
      <w:r>
        <w:t xml:space="preserve">3.3 </w:t>
      </w:r>
      <w:r w:rsidR="00946766">
        <w:t>IALA Documents on Man-Made Offshore Structures</w:t>
      </w:r>
    </w:p>
    <w:p w14:paraId="5FC531E0" w14:textId="08CFBA25" w:rsidR="00946766" w:rsidRDefault="002E42EA" w:rsidP="00F36489">
      <w:pPr>
        <w:pStyle w:val="BodyText"/>
      </w:pPr>
      <w:r>
        <w:t>IALA has provided several documents on the marking of Offshore Structures. The most important is Recommendation O-139. In the introduction, chapter 1 of O-139 we find:</w:t>
      </w:r>
    </w:p>
    <w:p w14:paraId="13F8C4B8" w14:textId="343E72B3" w:rsidR="002E42EA" w:rsidRPr="002E42EA" w:rsidRDefault="002E42EA" w:rsidP="002E42EA">
      <w:pPr>
        <w:pStyle w:val="Quote"/>
        <w:rPr>
          <w:lang w:val="en-US"/>
        </w:rPr>
      </w:pPr>
      <w:r w:rsidRPr="002E42EA">
        <w:rPr>
          <w:lang w:val="en-US"/>
        </w:rPr>
        <w:lastRenderedPageBreak/>
        <w:t>The marking of offshore structures as defined in these recommendations may be considered as</w:t>
      </w:r>
      <w:r>
        <w:rPr>
          <w:lang w:val="en-US"/>
        </w:rPr>
        <w:t xml:space="preserve"> </w:t>
      </w:r>
      <w:r w:rsidRPr="002E42EA">
        <w:rPr>
          <w:lang w:val="en-US"/>
        </w:rPr>
        <w:t>a minimum requirement to ensure th</w:t>
      </w:r>
      <w:r>
        <w:rPr>
          <w:lang w:val="en-US"/>
        </w:rPr>
        <w:t>e safety of navigation in the</w:t>
      </w:r>
      <w:r w:rsidRPr="002E42EA">
        <w:rPr>
          <w:lang w:val="en-US"/>
        </w:rPr>
        <w:t xml:space="preserve"> vicinity of the structures,</w:t>
      </w:r>
      <w:r>
        <w:rPr>
          <w:lang w:val="en-US"/>
        </w:rPr>
        <w:t xml:space="preserve"> </w:t>
      </w:r>
      <w:r w:rsidRPr="002E42EA">
        <w:rPr>
          <w:lang w:val="en-US"/>
        </w:rPr>
        <w:t>however, National Authorities may require more stringent marking.</w:t>
      </w:r>
    </w:p>
    <w:p w14:paraId="2B174122" w14:textId="5FD9BFD6" w:rsidR="00946766" w:rsidRDefault="002E42EA" w:rsidP="00F36489">
      <w:pPr>
        <w:pStyle w:val="BodyText"/>
        <w:rPr>
          <w:lang w:val="en-US"/>
        </w:rPr>
      </w:pPr>
      <w:r>
        <w:rPr>
          <w:lang w:val="en-US"/>
        </w:rPr>
        <w:t>In chapter 2.3 Marking of Offshore Windfarms is stated for a single wind turbine (each structure of an Offshore Wind Farm):</w:t>
      </w:r>
    </w:p>
    <w:p w14:paraId="3FA15028" w14:textId="7870F090" w:rsidR="002E42EA" w:rsidRPr="002E42EA" w:rsidRDefault="002E42EA" w:rsidP="002E42EA">
      <w:pPr>
        <w:pStyle w:val="Quote"/>
        <w:rPr>
          <w:lang w:val="en-US"/>
        </w:rPr>
      </w:pPr>
      <w:r w:rsidRPr="002E42EA">
        <w:rPr>
          <w:lang w:val="en-US"/>
        </w:rPr>
        <w:t xml:space="preserve">The structures should be painted yellow all around from the level of HAT up to 15 </w:t>
      </w:r>
      <w:proofErr w:type="spellStart"/>
      <w:r w:rsidRPr="002E42EA">
        <w:rPr>
          <w:lang w:val="en-US"/>
        </w:rPr>
        <w:t>metres</w:t>
      </w:r>
      <w:proofErr w:type="spellEnd"/>
      <w:r w:rsidRPr="002E42EA">
        <w:rPr>
          <w:lang w:val="en-US"/>
        </w:rPr>
        <w:t>.</w:t>
      </w:r>
    </w:p>
    <w:p w14:paraId="68109966" w14:textId="41CA02E0" w:rsidR="002E42EA" w:rsidRDefault="002E42EA" w:rsidP="00F36489">
      <w:pPr>
        <w:pStyle w:val="BodyText"/>
        <w:rPr>
          <w:lang w:val="en-US"/>
        </w:rPr>
      </w:pPr>
      <w:r>
        <w:rPr>
          <w:lang w:val="en-US"/>
        </w:rPr>
        <w:t xml:space="preserve">Although alternative marking </w:t>
      </w:r>
      <w:r w:rsidR="008C5954">
        <w:rPr>
          <w:lang w:val="en-US"/>
        </w:rPr>
        <w:t>is mentioned in O-139 the reader can derive from recommendation O-139 that the 15 m high painting is obligatory and is considered as a minimum requirement.</w:t>
      </w:r>
    </w:p>
    <w:p w14:paraId="30C64822" w14:textId="0D116FE6" w:rsidR="008C5954" w:rsidRDefault="006E2ECC" w:rsidP="00F36489">
      <w:pPr>
        <w:pStyle w:val="BodyText"/>
        <w:rPr>
          <w:lang w:val="en-US"/>
        </w:rPr>
      </w:pPr>
      <w:r>
        <w:rPr>
          <w:lang w:val="en-US"/>
        </w:rPr>
        <w:t>The German Foundation Offshore Wind Energy (www.offshore-stiftung.de) has presented a paper which shows that national IALA members in Europe do not comply with the recommendation O-139 when approving Offshore Wind Farms.</w:t>
      </w:r>
    </w:p>
    <w:p w14:paraId="24EE5606" w14:textId="0E77CCC5" w:rsidR="006E2ECC" w:rsidRDefault="006E2ECC" w:rsidP="00F36489">
      <w:pPr>
        <w:pStyle w:val="BodyText"/>
        <w:rPr>
          <w:lang w:val="en-US"/>
        </w:rPr>
      </w:pPr>
      <w:r>
        <w:rPr>
          <w:lang w:val="en-US"/>
        </w:rPr>
        <w:t xml:space="preserve">Some members do not demand a yellow painting at </w:t>
      </w:r>
      <w:proofErr w:type="gramStart"/>
      <w:r>
        <w:rPr>
          <w:lang w:val="en-US"/>
        </w:rPr>
        <w:t>all</w:t>
      </w:r>
      <w:proofErr w:type="gramEnd"/>
      <w:r>
        <w:rPr>
          <w:lang w:val="en-US"/>
        </w:rPr>
        <w:t xml:space="preserve"> and some members do not ensure that the yellow painting fulfils the IALA Recommendations for surface </w:t>
      </w:r>
      <w:proofErr w:type="spellStart"/>
      <w:r>
        <w:rPr>
          <w:lang w:val="en-US"/>
        </w:rPr>
        <w:t>colours</w:t>
      </w:r>
      <w:proofErr w:type="spellEnd"/>
      <w:r>
        <w:rPr>
          <w:lang w:val="en-US"/>
        </w:rPr>
        <w:t>.</w:t>
      </w:r>
    </w:p>
    <w:p w14:paraId="7AAE5ECD" w14:textId="3B5EE31E" w:rsidR="006E2ECC" w:rsidRDefault="005D6AEB" w:rsidP="005D6AEB">
      <w:pPr>
        <w:pStyle w:val="BodyText"/>
        <w:pBdr>
          <w:top w:val="single" w:sz="4" w:space="1" w:color="auto"/>
          <w:left w:val="single" w:sz="4" w:space="4" w:color="auto"/>
          <w:bottom w:val="single" w:sz="4" w:space="1" w:color="auto"/>
          <w:right w:val="single" w:sz="4" w:space="4" w:color="auto"/>
        </w:pBdr>
        <w:rPr>
          <w:lang w:val="en-US"/>
        </w:rPr>
      </w:pPr>
      <w:r>
        <w:rPr>
          <w:lang w:val="en-US"/>
        </w:rPr>
        <w:t xml:space="preserve">As a </w:t>
      </w:r>
      <w:proofErr w:type="gramStart"/>
      <w:r>
        <w:rPr>
          <w:lang w:val="en-US"/>
        </w:rPr>
        <w:t>consequence</w:t>
      </w:r>
      <w:proofErr w:type="gramEnd"/>
      <w:r>
        <w:rPr>
          <w:lang w:val="en-US"/>
        </w:rPr>
        <w:t xml:space="preserve"> it must be stated that the 15 </w:t>
      </w:r>
      <w:proofErr w:type="spellStart"/>
      <w:r>
        <w:rPr>
          <w:lang w:val="en-US"/>
        </w:rPr>
        <w:t>metres</w:t>
      </w:r>
      <w:proofErr w:type="spellEnd"/>
      <w:r>
        <w:rPr>
          <w:lang w:val="en-US"/>
        </w:rPr>
        <w:t xml:space="preserve"> high painting is not an international accepted standard or convention for the marking of Man-Made Offshore Structures.</w:t>
      </w:r>
    </w:p>
    <w:p w14:paraId="7DDD2536" w14:textId="2A6A11BA" w:rsidR="008C5954" w:rsidRDefault="005D6AEB" w:rsidP="00F36489">
      <w:pPr>
        <w:pStyle w:val="BodyText"/>
        <w:rPr>
          <w:lang w:val="en-US"/>
        </w:rPr>
      </w:pPr>
      <w:r>
        <w:rPr>
          <w:lang w:val="en-US"/>
        </w:rPr>
        <w:t xml:space="preserve">The German Foundation Offshore Wind Energy looked at the IALA </w:t>
      </w:r>
      <w:proofErr w:type="spellStart"/>
      <w:r>
        <w:rPr>
          <w:lang w:val="en-US"/>
        </w:rPr>
        <w:t>Navguide</w:t>
      </w:r>
      <w:proofErr w:type="spellEnd"/>
      <w:r>
        <w:rPr>
          <w:lang w:val="en-US"/>
        </w:rPr>
        <w:t xml:space="preserve"> 2014 </w:t>
      </w:r>
      <w:r w:rsidR="00C17A3A">
        <w:rPr>
          <w:lang w:val="en-US"/>
        </w:rPr>
        <w:t>as well. It</w:t>
      </w:r>
      <w:r>
        <w:rPr>
          <w:lang w:val="en-US"/>
        </w:rPr>
        <w:t xml:space="preserve"> </w:t>
      </w:r>
      <w:r w:rsidR="00C17A3A">
        <w:rPr>
          <w:lang w:val="en-US"/>
        </w:rPr>
        <w:t xml:space="preserve">interprets the content of chapter 6.4.3 </w:t>
      </w:r>
      <w:r>
        <w:rPr>
          <w:lang w:val="en-US"/>
        </w:rPr>
        <w:t>in</w:t>
      </w:r>
      <w:r w:rsidR="00C17A3A">
        <w:rPr>
          <w:lang w:val="en-US"/>
        </w:rPr>
        <w:t xml:space="preserve"> </w:t>
      </w:r>
      <w:proofErr w:type="spellStart"/>
      <w:r w:rsidR="00C17A3A">
        <w:rPr>
          <w:lang w:val="en-US"/>
        </w:rPr>
        <w:t>Navguide</w:t>
      </w:r>
      <w:proofErr w:type="spellEnd"/>
      <w:r w:rsidR="00C17A3A">
        <w:rPr>
          <w:lang w:val="en-US"/>
        </w:rPr>
        <w:t xml:space="preserve"> 2014</w:t>
      </w:r>
      <w:r>
        <w:rPr>
          <w:lang w:val="en-US"/>
        </w:rPr>
        <w:t xml:space="preserve"> </w:t>
      </w:r>
      <w:r w:rsidR="00C17A3A">
        <w:rPr>
          <w:lang w:val="en-US"/>
        </w:rPr>
        <w:t xml:space="preserve">that the 15 </w:t>
      </w:r>
      <w:proofErr w:type="spellStart"/>
      <w:r w:rsidR="00C17A3A">
        <w:rPr>
          <w:lang w:val="en-US"/>
        </w:rPr>
        <w:t>metres</w:t>
      </w:r>
      <w:proofErr w:type="spellEnd"/>
      <w:r w:rsidR="00C17A3A">
        <w:rPr>
          <w:lang w:val="en-US"/>
        </w:rPr>
        <w:t xml:space="preserve"> high painting is for an </w:t>
      </w:r>
      <w:r w:rsidR="00C17A3A" w:rsidRPr="00C17A3A">
        <w:rPr>
          <w:u w:val="single"/>
          <w:lang w:val="en-US"/>
        </w:rPr>
        <w:t>isolated</w:t>
      </w:r>
      <w:r w:rsidR="00C17A3A">
        <w:rPr>
          <w:lang w:val="en-US"/>
        </w:rPr>
        <w:t xml:space="preserve"> wind turbine only and is not applicable to the single wind turbine in a Wind Farm.</w:t>
      </w:r>
    </w:p>
    <w:p w14:paraId="1143298D" w14:textId="101494F3" w:rsidR="00C17A3A" w:rsidRDefault="00C17A3A" w:rsidP="00F36489">
      <w:pPr>
        <w:pStyle w:val="BodyText"/>
        <w:rPr>
          <w:lang w:val="en-US"/>
        </w:rPr>
      </w:pPr>
      <w:r>
        <w:rPr>
          <w:lang w:val="en-US"/>
        </w:rPr>
        <w:t xml:space="preserve">The content of the revised IALA </w:t>
      </w:r>
      <w:proofErr w:type="spellStart"/>
      <w:r>
        <w:rPr>
          <w:lang w:val="en-US"/>
        </w:rPr>
        <w:t>Navguide</w:t>
      </w:r>
      <w:proofErr w:type="spellEnd"/>
      <w:r>
        <w:rPr>
          <w:lang w:val="en-US"/>
        </w:rPr>
        <w:t xml:space="preserve"> 2018, chapter 6.4 has only a few words and does not contain detailed information on the marking of offshore structures. It only links to the Recommendation O-139.</w:t>
      </w:r>
    </w:p>
    <w:p w14:paraId="219F87FC" w14:textId="60E08E6B" w:rsidR="008C5954" w:rsidRDefault="003C5447" w:rsidP="003C5447">
      <w:pPr>
        <w:pStyle w:val="Heading1"/>
        <w:rPr>
          <w:lang w:val="en-US"/>
        </w:rPr>
      </w:pPr>
      <w:r>
        <w:rPr>
          <w:lang w:val="en-US"/>
        </w:rPr>
        <w:t>Conclusions</w:t>
      </w:r>
    </w:p>
    <w:p w14:paraId="3469FB75" w14:textId="0F635FB4" w:rsidR="003C5447" w:rsidRPr="003C5447" w:rsidRDefault="003C5447" w:rsidP="003C5447">
      <w:pPr>
        <w:pStyle w:val="BodyText"/>
        <w:rPr>
          <w:lang w:val="en-US" w:eastAsia="de-DE"/>
        </w:rPr>
      </w:pPr>
      <w:r>
        <w:rPr>
          <w:lang w:val="en-US" w:eastAsia="de-DE"/>
        </w:rPr>
        <w:t xml:space="preserve">The 15 </w:t>
      </w:r>
      <w:proofErr w:type="spellStart"/>
      <w:r>
        <w:rPr>
          <w:lang w:val="en-US" w:eastAsia="de-DE"/>
        </w:rPr>
        <w:t>metres</w:t>
      </w:r>
      <w:proofErr w:type="spellEnd"/>
      <w:r>
        <w:rPr>
          <w:lang w:val="en-US" w:eastAsia="de-DE"/>
        </w:rPr>
        <w:t xml:space="preserve"> high painting of a single wind turbine in a wind farm affects the profitable efficiency of Offshore Wind Energy. Many IALA members do not claim that the painting is a suitable measure to mark an offshore windfarm</w:t>
      </w:r>
    </w:p>
    <w:p w14:paraId="5F9FD5DC" w14:textId="0448019D" w:rsidR="008C5954" w:rsidRPr="002E42EA" w:rsidRDefault="003C5447" w:rsidP="003C5447">
      <w:pPr>
        <w:pStyle w:val="Heading1"/>
        <w:rPr>
          <w:lang w:val="en-US"/>
        </w:rPr>
      </w:pPr>
      <w:r w:rsidRPr="007A395D">
        <w:t>Action requested of the Committee</w:t>
      </w:r>
    </w:p>
    <w:p w14:paraId="362A7843" w14:textId="0483F02B" w:rsidR="00946766" w:rsidRDefault="003C5447" w:rsidP="00F36489">
      <w:pPr>
        <w:pStyle w:val="BodyText"/>
      </w:pPr>
      <w:r>
        <w:t>The committee is requested to:</w:t>
      </w:r>
    </w:p>
    <w:p w14:paraId="43255DC4" w14:textId="57C775A3" w:rsidR="00EC5D4D" w:rsidRDefault="003C5447" w:rsidP="003C5447">
      <w:pPr>
        <w:pStyle w:val="Bullet1"/>
      </w:pPr>
      <w:r>
        <w:t>investigate whether the 15 metres yellow painting is still necessary for the marking of a single wind turbine</w:t>
      </w:r>
      <w:r w:rsidR="00EC5D4D">
        <w:t xml:space="preserve"> in an Offshore Windfarm,</w:t>
      </w:r>
    </w:p>
    <w:p w14:paraId="05F9F087" w14:textId="514BACE3" w:rsidR="003C5447" w:rsidRDefault="00EC5D4D" w:rsidP="003C5447">
      <w:pPr>
        <w:pStyle w:val="Bullet1"/>
      </w:pPr>
      <w:r>
        <w:t>remove the demand for the painting from O-139, if it is found out not necessary,</w:t>
      </w:r>
    </w:p>
    <w:p w14:paraId="6A36BF09" w14:textId="2101C830" w:rsidR="00EC5D4D" w:rsidRDefault="00EC5D4D" w:rsidP="003C5447">
      <w:pPr>
        <w:pStyle w:val="Bullet1"/>
      </w:pPr>
      <w:proofErr w:type="spellStart"/>
      <w:r>
        <w:t>delevop</w:t>
      </w:r>
      <w:proofErr w:type="spellEnd"/>
      <w:r>
        <w:t xml:space="preserve"> a new marking,</w:t>
      </w:r>
    </w:p>
    <w:p w14:paraId="6DE9F110" w14:textId="42D1F0C4" w:rsidR="00EC5D4D" w:rsidRDefault="00EC5D4D" w:rsidP="003C5447">
      <w:pPr>
        <w:pStyle w:val="Bullet1"/>
      </w:pPr>
      <w:r>
        <w:t>consider a painting or signs with smaller dimensions,</w:t>
      </w:r>
    </w:p>
    <w:p w14:paraId="5A94FEDA" w14:textId="14F4EF5F" w:rsidR="00EC5D4D" w:rsidRDefault="00EC5D4D" w:rsidP="003C5447">
      <w:pPr>
        <w:pStyle w:val="Bullet1"/>
      </w:pPr>
      <w:r>
        <w:t xml:space="preserve">consider a combination of </w:t>
      </w:r>
      <w:r w:rsidR="00880173">
        <w:t xml:space="preserve">small </w:t>
      </w:r>
      <w:r>
        <w:t>black and yellow elements for a new marking to improve contrast,</w:t>
      </w:r>
    </w:p>
    <w:p w14:paraId="5D65E418" w14:textId="31C31E7D" w:rsidR="00EC5D4D" w:rsidRDefault="00EC5D4D" w:rsidP="003C5447">
      <w:pPr>
        <w:pStyle w:val="Bullet1"/>
      </w:pPr>
      <w:r>
        <w:t xml:space="preserve">consider </w:t>
      </w:r>
      <w:proofErr w:type="gramStart"/>
      <w:r>
        <w:t>to apply</w:t>
      </w:r>
      <w:proofErr w:type="gramEnd"/>
      <w:r>
        <w:t xml:space="preserve"> the marking only for the periphery.</w:t>
      </w:r>
    </w:p>
    <w:p w14:paraId="1D083D92" w14:textId="77777777" w:rsidR="00180DDA" w:rsidRPr="007A395D" w:rsidRDefault="00180DDA" w:rsidP="00605E43">
      <w:pPr>
        <w:pStyle w:val="Heading1"/>
      </w:pPr>
      <w:bookmarkStart w:id="1" w:name="_Ref530472473"/>
      <w:r w:rsidRPr="007A395D">
        <w:t>References</w:t>
      </w:r>
      <w:bookmarkEnd w:id="1"/>
    </w:p>
    <w:p w14:paraId="602EDD48" w14:textId="5774C450" w:rsidR="00180DDA" w:rsidRPr="007A395D" w:rsidRDefault="00A62144" w:rsidP="00F36489">
      <w:pPr>
        <w:pStyle w:val="References"/>
      </w:pPr>
      <w:r>
        <w:t>IALA Recommendation O-139 on The Marking of Man-Made Offshore-Structures</w:t>
      </w:r>
    </w:p>
    <w:p w14:paraId="00EC0BCC" w14:textId="0766790F" w:rsidR="00180DDA" w:rsidRDefault="00A62144" w:rsidP="00F36489">
      <w:pPr>
        <w:pStyle w:val="References"/>
        <w:rPr>
          <w:lang w:eastAsia="de-DE"/>
        </w:rPr>
      </w:pPr>
      <w:r>
        <w:rPr>
          <w:lang w:eastAsia="de-DE"/>
        </w:rPr>
        <w:t xml:space="preserve">IALA Recommendation </w:t>
      </w:r>
      <w:r w:rsidR="0019715B">
        <w:rPr>
          <w:lang w:eastAsia="de-DE"/>
        </w:rPr>
        <w:t xml:space="preserve">E-108 The Surface Colours used as Visual Signals on Marine Aids to </w:t>
      </w:r>
      <w:proofErr w:type="gramStart"/>
      <w:r w:rsidR="0019715B">
        <w:rPr>
          <w:lang w:eastAsia="de-DE"/>
        </w:rPr>
        <w:t>Navigation(</w:t>
      </w:r>
      <w:proofErr w:type="gramEnd"/>
      <w:r w:rsidR="0019715B">
        <w:rPr>
          <w:lang w:eastAsia="de-DE"/>
        </w:rPr>
        <w:t>until December 2017)</w:t>
      </w:r>
    </w:p>
    <w:p w14:paraId="44983455" w14:textId="4343DE66" w:rsidR="0019715B" w:rsidRDefault="0019715B" w:rsidP="00F36489">
      <w:pPr>
        <w:pStyle w:val="References"/>
        <w:rPr>
          <w:lang w:eastAsia="de-DE"/>
        </w:rPr>
      </w:pPr>
      <w:r>
        <w:rPr>
          <w:lang w:eastAsia="de-DE"/>
        </w:rPr>
        <w:lastRenderedPageBreak/>
        <w:t>IALA Recommendation R0108 The Surface Colours used as Visual Signals on Marine Aids to Navigation (since December 2017)</w:t>
      </w:r>
    </w:p>
    <w:p w14:paraId="46772CB0" w14:textId="1DB7C66C" w:rsidR="0019715B" w:rsidRDefault="0019715B" w:rsidP="00F36489">
      <w:pPr>
        <w:pStyle w:val="References"/>
        <w:rPr>
          <w:lang w:eastAsia="de-DE"/>
        </w:rPr>
      </w:pPr>
      <w:r>
        <w:rPr>
          <w:lang w:eastAsia="de-DE"/>
        </w:rPr>
        <w:t xml:space="preserve">IALA Guideline G1134 Surface Colours used as Visual Signals on </w:t>
      </w:r>
      <w:proofErr w:type="spellStart"/>
      <w:r>
        <w:rPr>
          <w:lang w:eastAsia="de-DE"/>
        </w:rPr>
        <w:t>AtoN</w:t>
      </w:r>
      <w:proofErr w:type="spellEnd"/>
      <w:r>
        <w:rPr>
          <w:lang w:eastAsia="de-DE"/>
        </w:rPr>
        <w:t xml:space="preserve"> (since December 2017)</w:t>
      </w:r>
    </w:p>
    <w:p w14:paraId="1FB7D40C" w14:textId="655A69EA" w:rsidR="000E780B" w:rsidRDefault="000E780B" w:rsidP="00F36489">
      <w:pPr>
        <w:pStyle w:val="References"/>
        <w:rPr>
          <w:lang w:eastAsia="de-DE"/>
        </w:rPr>
      </w:pPr>
      <w:r>
        <w:rPr>
          <w:lang w:eastAsia="de-DE"/>
        </w:rPr>
        <w:t xml:space="preserve">IALA </w:t>
      </w:r>
      <w:proofErr w:type="spellStart"/>
      <w:r>
        <w:rPr>
          <w:lang w:eastAsia="de-DE"/>
        </w:rPr>
        <w:t>Navguide</w:t>
      </w:r>
      <w:proofErr w:type="spellEnd"/>
      <w:r>
        <w:rPr>
          <w:lang w:eastAsia="de-DE"/>
        </w:rPr>
        <w:t xml:space="preserve"> 2014</w:t>
      </w:r>
    </w:p>
    <w:p w14:paraId="6A4E9FEE" w14:textId="589E2AE5" w:rsidR="000E780B" w:rsidRPr="007A395D" w:rsidRDefault="000E780B" w:rsidP="00F36489">
      <w:pPr>
        <w:pStyle w:val="References"/>
        <w:rPr>
          <w:lang w:eastAsia="de-DE"/>
        </w:rPr>
      </w:pPr>
      <w:r>
        <w:rPr>
          <w:lang w:eastAsia="de-DE"/>
        </w:rPr>
        <w:t xml:space="preserve">IALA </w:t>
      </w:r>
      <w:proofErr w:type="spellStart"/>
      <w:r>
        <w:rPr>
          <w:lang w:eastAsia="de-DE"/>
        </w:rPr>
        <w:t>Navguide</w:t>
      </w:r>
      <w:proofErr w:type="spellEnd"/>
      <w:r>
        <w:rPr>
          <w:lang w:eastAsia="de-DE"/>
        </w:rPr>
        <w:t xml:space="preserve"> 2018</w:t>
      </w:r>
    </w:p>
    <w:sectPr w:rsidR="000E780B" w:rsidRPr="007A395D" w:rsidSect="0082480E">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C81B9" w14:textId="77777777" w:rsidR="00BE219B" w:rsidRDefault="00BE219B" w:rsidP="00362CD9">
      <w:r>
        <w:separator/>
      </w:r>
    </w:p>
    <w:p w14:paraId="3F298F5E" w14:textId="77777777" w:rsidR="00BE219B" w:rsidRDefault="00BE219B"/>
    <w:p w14:paraId="386DD80C" w14:textId="77777777" w:rsidR="00BE219B" w:rsidRDefault="00BE219B"/>
  </w:endnote>
  <w:endnote w:type="continuationSeparator" w:id="0">
    <w:p w14:paraId="2C4B2A7C" w14:textId="77777777" w:rsidR="00BE219B" w:rsidRDefault="00BE219B" w:rsidP="00362CD9">
      <w:r>
        <w:continuationSeparator/>
      </w:r>
    </w:p>
    <w:p w14:paraId="5AA994F0" w14:textId="77777777" w:rsidR="00BE219B" w:rsidRDefault="00BE219B"/>
    <w:p w14:paraId="36C39660" w14:textId="77777777" w:rsidR="00BE219B" w:rsidRDefault="00BE2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FD17A1B" w:rsidR="004D4B1B" w:rsidRPr="00036B9E" w:rsidRDefault="00784C6A">
    <w:pPr>
      <w:pStyle w:val="Footer"/>
      <w:rPr>
        <w:rFonts w:ascii="Calibri" w:hAnsi="Calibri"/>
      </w:rPr>
    </w:pPr>
    <w:r w:rsidRPr="00784C6A">
      <w:rPr>
        <w:rFonts w:ascii="Calibri" w:hAnsi="Calibri"/>
        <w:sz w:val="20"/>
        <w:szCs w:val="20"/>
      </w:rPr>
      <w:t>Revision of IALA-Recommendation O-139 on The Marking of Man-Made Offshore Structures</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CDD71" w14:textId="77777777" w:rsidR="00BE219B" w:rsidRDefault="00BE219B" w:rsidP="00362CD9">
      <w:r>
        <w:separator/>
      </w:r>
    </w:p>
    <w:p w14:paraId="3C081629" w14:textId="77777777" w:rsidR="00BE219B" w:rsidRDefault="00BE219B"/>
    <w:p w14:paraId="1D470221" w14:textId="77777777" w:rsidR="00BE219B" w:rsidRDefault="00BE219B"/>
  </w:footnote>
  <w:footnote w:type="continuationSeparator" w:id="0">
    <w:p w14:paraId="7B39909C" w14:textId="77777777" w:rsidR="00BE219B" w:rsidRDefault="00BE219B" w:rsidP="00362CD9">
      <w:r>
        <w:continuationSeparator/>
      </w:r>
    </w:p>
    <w:p w14:paraId="6A6D99DE" w14:textId="77777777" w:rsidR="00BE219B" w:rsidRDefault="00BE219B"/>
    <w:p w14:paraId="09B4DAC1" w14:textId="77777777" w:rsidR="00BE219B" w:rsidRDefault="00BE219B"/>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5EC8C0BF" w:rsidR="004D4B1B" w:rsidRDefault="004D4B1B" w:rsidP="007A395D">
    <w:pPr>
      <w:pStyle w:val="Header"/>
      <w:jc w:val="right"/>
    </w:pPr>
    <w:r>
      <w:rPr>
        <w:noProof/>
        <w:lang w:val="de-DE" w:eastAsia="de-D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14C6568C" w:rsidR="004D4B1B" w:rsidRDefault="004D4B1B"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39B83BB9" w:rsidR="004D4B1B" w:rsidRDefault="004D4B1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3D9AAB0C"/>
    <w:lvl w:ilvl="0">
      <w:start w:val="1"/>
      <w:numFmt w:val="decimal"/>
      <w:isLgl/>
      <w:lvlText w:val="%11"/>
      <w:lvlJc w:val="left"/>
      <w:pPr>
        <w:tabs>
          <w:tab w:val="num" w:pos="567"/>
        </w:tabs>
        <w:ind w:left="567" w:hanging="567"/>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41F4D24"/>
    <w:multiLevelType w:val="multilevel"/>
    <w:tmpl w:val="BD5E7A8C"/>
    <w:numStyleLink w:val="Formatvorlage1"/>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8552DB4"/>
    <w:multiLevelType w:val="multilevel"/>
    <w:tmpl w:val="BD5E7A8C"/>
    <w:styleLink w:val="Formatvorlage1"/>
    <w:lvl w:ilvl="0">
      <w:start w:val="1"/>
      <w:numFmt w:val="decimal"/>
      <w:isLgl/>
      <w:lvlText w:val="%11"/>
      <w:lvlJc w:val="left"/>
      <w:pPr>
        <w:tabs>
          <w:tab w:val="num" w:pos="567"/>
        </w:tabs>
        <w:ind w:left="567" w:hanging="567"/>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1.1"/>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5"/>
  </w:num>
  <w:num w:numId="5">
    <w:abstractNumId w:val="18"/>
  </w:num>
  <w:num w:numId="6">
    <w:abstractNumId w:val="4"/>
  </w:num>
  <w:num w:numId="7">
    <w:abstractNumId w:val="27"/>
  </w:num>
  <w:num w:numId="8">
    <w:abstractNumId w:val="13"/>
  </w:num>
  <w:num w:numId="9">
    <w:abstractNumId w:val="10"/>
  </w:num>
  <w:num w:numId="10">
    <w:abstractNumId w:val="20"/>
  </w:num>
  <w:num w:numId="11">
    <w:abstractNumId w:val="19"/>
  </w:num>
  <w:num w:numId="12">
    <w:abstractNumId w:val="17"/>
  </w:num>
  <w:num w:numId="13">
    <w:abstractNumId w:val="26"/>
  </w:num>
  <w:num w:numId="14">
    <w:abstractNumId w:val="7"/>
  </w:num>
  <w:num w:numId="15">
    <w:abstractNumId w:val="30"/>
  </w:num>
  <w:num w:numId="16">
    <w:abstractNumId w:val="16"/>
  </w:num>
  <w:num w:numId="17">
    <w:abstractNumId w:val="8"/>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7"/>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4"/>
  </w:num>
  <w:num w:numId="46">
    <w:abstractNumId w:val="28"/>
  </w:num>
  <w:num w:numId="47">
    <w:abstractNumId w:val="5"/>
  </w:num>
  <w:num w:numId="48">
    <w:abstractNumId w:val="6"/>
  </w:num>
  <w:num w:numId="49">
    <w:abstractNumId w:val="29"/>
  </w:num>
  <w:num w:numId="5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0E9"/>
    <w:rsid w:val="00036B9E"/>
    <w:rsid w:val="00037DF4"/>
    <w:rsid w:val="0004700E"/>
    <w:rsid w:val="00047287"/>
    <w:rsid w:val="00070C13"/>
    <w:rsid w:val="000715C9"/>
    <w:rsid w:val="00084F33"/>
    <w:rsid w:val="000A77A7"/>
    <w:rsid w:val="000B1707"/>
    <w:rsid w:val="000C1B3E"/>
    <w:rsid w:val="000C1CAC"/>
    <w:rsid w:val="000E780B"/>
    <w:rsid w:val="0010585B"/>
    <w:rsid w:val="00110AE7"/>
    <w:rsid w:val="00112FA0"/>
    <w:rsid w:val="00127DB0"/>
    <w:rsid w:val="00137240"/>
    <w:rsid w:val="00177F4D"/>
    <w:rsid w:val="00180DDA"/>
    <w:rsid w:val="0019715B"/>
    <w:rsid w:val="001B2A2D"/>
    <w:rsid w:val="001B737D"/>
    <w:rsid w:val="001C2A2E"/>
    <w:rsid w:val="001C44A3"/>
    <w:rsid w:val="001C7BE2"/>
    <w:rsid w:val="001E0E15"/>
    <w:rsid w:val="001F528A"/>
    <w:rsid w:val="001F704E"/>
    <w:rsid w:val="00201722"/>
    <w:rsid w:val="002125B0"/>
    <w:rsid w:val="00220BA8"/>
    <w:rsid w:val="00243228"/>
    <w:rsid w:val="00251483"/>
    <w:rsid w:val="00255CAA"/>
    <w:rsid w:val="002608E2"/>
    <w:rsid w:val="00264305"/>
    <w:rsid w:val="00265CED"/>
    <w:rsid w:val="002A0346"/>
    <w:rsid w:val="002A4487"/>
    <w:rsid w:val="002B49E9"/>
    <w:rsid w:val="002C30B1"/>
    <w:rsid w:val="002C632E"/>
    <w:rsid w:val="002D3E8B"/>
    <w:rsid w:val="002D4575"/>
    <w:rsid w:val="002D5C0C"/>
    <w:rsid w:val="002E03D1"/>
    <w:rsid w:val="002E42EA"/>
    <w:rsid w:val="002E6B74"/>
    <w:rsid w:val="002E6FCA"/>
    <w:rsid w:val="002F59C3"/>
    <w:rsid w:val="0030689C"/>
    <w:rsid w:val="003228D9"/>
    <w:rsid w:val="003336CC"/>
    <w:rsid w:val="003430C9"/>
    <w:rsid w:val="00356CD0"/>
    <w:rsid w:val="00362CD9"/>
    <w:rsid w:val="003761CA"/>
    <w:rsid w:val="00380DAF"/>
    <w:rsid w:val="003865D1"/>
    <w:rsid w:val="003972CE"/>
    <w:rsid w:val="003B1008"/>
    <w:rsid w:val="003B28F5"/>
    <w:rsid w:val="003B7B7D"/>
    <w:rsid w:val="003C5447"/>
    <w:rsid w:val="003C54CB"/>
    <w:rsid w:val="003C7A2A"/>
    <w:rsid w:val="003D1643"/>
    <w:rsid w:val="003D2DC1"/>
    <w:rsid w:val="003D69D0"/>
    <w:rsid w:val="003F2918"/>
    <w:rsid w:val="003F2CDB"/>
    <w:rsid w:val="003F430E"/>
    <w:rsid w:val="0041088C"/>
    <w:rsid w:val="00420A38"/>
    <w:rsid w:val="00431B19"/>
    <w:rsid w:val="004520B3"/>
    <w:rsid w:val="004661AD"/>
    <w:rsid w:val="004737B9"/>
    <w:rsid w:val="004C604D"/>
    <w:rsid w:val="004D1D85"/>
    <w:rsid w:val="004D3C3A"/>
    <w:rsid w:val="004D4B1B"/>
    <w:rsid w:val="004D6E9B"/>
    <w:rsid w:val="004E1CD1"/>
    <w:rsid w:val="004E2CBA"/>
    <w:rsid w:val="005107EB"/>
    <w:rsid w:val="00521345"/>
    <w:rsid w:val="00526DF0"/>
    <w:rsid w:val="00545CC4"/>
    <w:rsid w:val="00551FFF"/>
    <w:rsid w:val="005607A2"/>
    <w:rsid w:val="005622DA"/>
    <w:rsid w:val="0057198B"/>
    <w:rsid w:val="00573CFE"/>
    <w:rsid w:val="005765BF"/>
    <w:rsid w:val="005969F2"/>
    <w:rsid w:val="00597FAE"/>
    <w:rsid w:val="005B32A3"/>
    <w:rsid w:val="005B7A6E"/>
    <w:rsid w:val="005C0D44"/>
    <w:rsid w:val="005C566C"/>
    <w:rsid w:val="005C7E69"/>
    <w:rsid w:val="005D4961"/>
    <w:rsid w:val="005D6AEB"/>
    <w:rsid w:val="005E262D"/>
    <w:rsid w:val="005F23D3"/>
    <w:rsid w:val="005F7E20"/>
    <w:rsid w:val="00605E43"/>
    <w:rsid w:val="006153BB"/>
    <w:rsid w:val="006503AC"/>
    <w:rsid w:val="00650B5D"/>
    <w:rsid w:val="006652C3"/>
    <w:rsid w:val="00677FAA"/>
    <w:rsid w:val="00681DFF"/>
    <w:rsid w:val="00691FD0"/>
    <w:rsid w:val="00692148"/>
    <w:rsid w:val="006A1A1E"/>
    <w:rsid w:val="006A35F1"/>
    <w:rsid w:val="006A7E45"/>
    <w:rsid w:val="006C5948"/>
    <w:rsid w:val="006E2ECC"/>
    <w:rsid w:val="006F2A74"/>
    <w:rsid w:val="006F4F07"/>
    <w:rsid w:val="007055E4"/>
    <w:rsid w:val="007118F5"/>
    <w:rsid w:val="00712AA4"/>
    <w:rsid w:val="007146C4"/>
    <w:rsid w:val="00721AA1"/>
    <w:rsid w:val="00724B67"/>
    <w:rsid w:val="00726C4F"/>
    <w:rsid w:val="007547F8"/>
    <w:rsid w:val="007563DB"/>
    <w:rsid w:val="00765622"/>
    <w:rsid w:val="00770B6C"/>
    <w:rsid w:val="00783FEA"/>
    <w:rsid w:val="00784C6A"/>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80173"/>
    <w:rsid w:val="008937DD"/>
    <w:rsid w:val="008939CC"/>
    <w:rsid w:val="008A356F"/>
    <w:rsid w:val="008A4653"/>
    <w:rsid w:val="008A4717"/>
    <w:rsid w:val="008A50CC"/>
    <w:rsid w:val="008B71A4"/>
    <w:rsid w:val="008C0003"/>
    <w:rsid w:val="008C5954"/>
    <w:rsid w:val="008D1694"/>
    <w:rsid w:val="008D2747"/>
    <w:rsid w:val="008D2769"/>
    <w:rsid w:val="008D4339"/>
    <w:rsid w:val="008D79CB"/>
    <w:rsid w:val="008E43C1"/>
    <w:rsid w:val="008F07BC"/>
    <w:rsid w:val="009064EA"/>
    <w:rsid w:val="00913812"/>
    <w:rsid w:val="009165C0"/>
    <w:rsid w:val="0092692B"/>
    <w:rsid w:val="0093354F"/>
    <w:rsid w:val="00943E9C"/>
    <w:rsid w:val="00945C7B"/>
    <w:rsid w:val="00946766"/>
    <w:rsid w:val="00953F4D"/>
    <w:rsid w:val="00960BB8"/>
    <w:rsid w:val="00964F5C"/>
    <w:rsid w:val="009831C0"/>
    <w:rsid w:val="0099161D"/>
    <w:rsid w:val="009B5263"/>
    <w:rsid w:val="00A0389B"/>
    <w:rsid w:val="00A33AE9"/>
    <w:rsid w:val="00A35999"/>
    <w:rsid w:val="00A446C9"/>
    <w:rsid w:val="00A62144"/>
    <w:rsid w:val="00A635D6"/>
    <w:rsid w:val="00A8553A"/>
    <w:rsid w:val="00A930C1"/>
    <w:rsid w:val="00A93AED"/>
    <w:rsid w:val="00AE1319"/>
    <w:rsid w:val="00AE144D"/>
    <w:rsid w:val="00AE34BB"/>
    <w:rsid w:val="00AF40A0"/>
    <w:rsid w:val="00B226F2"/>
    <w:rsid w:val="00B274DF"/>
    <w:rsid w:val="00B56BDF"/>
    <w:rsid w:val="00B65812"/>
    <w:rsid w:val="00B712C3"/>
    <w:rsid w:val="00B842E1"/>
    <w:rsid w:val="00B85CD6"/>
    <w:rsid w:val="00B90A27"/>
    <w:rsid w:val="00B9554D"/>
    <w:rsid w:val="00BA73E2"/>
    <w:rsid w:val="00BB2B9F"/>
    <w:rsid w:val="00BB7D9E"/>
    <w:rsid w:val="00BC2334"/>
    <w:rsid w:val="00BD3CB8"/>
    <w:rsid w:val="00BD4E6F"/>
    <w:rsid w:val="00BE219B"/>
    <w:rsid w:val="00BF32F0"/>
    <w:rsid w:val="00BF4DCE"/>
    <w:rsid w:val="00C05CE5"/>
    <w:rsid w:val="00C07A3D"/>
    <w:rsid w:val="00C17A3A"/>
    <w:rsid w:val="00C6171E"/>
    <w:rsid w:val="00CA6F2C"/>
    <w:rsid w:val="00CB2787"/>
    <w:rsid w:val="00CB7A77"/>
    <w:rsid w:val="00CC2DCC"/>
    <w:rsid w:val="00CD2E4A"/>
    <w:rsid w:val="00CF1871"/>
    <w:rsid w:val="00D019CE"/>
    <w:rsid w:val="00D1133E"/>
    <w:rsid w:val="00D1654B"/>
    <w:rsid w:val="00D17A34"/>
    <w:rsid w:val="00D26628"/>
    <w:rsid w:val="00D332B3"/>
    <w:rsid w:val="00D55207"/>
    <w:rsid w:val="00D55B61"/>
    <w:rsid w:val="00D63B4A"/>
    <w:rsid w:val="00D81801"/>
    <w:rsid w:val="00D92B45"/>
    <w:rsid w:val="00D95962"/>
    <w:rsid w:val="00DC389B"/>
    <w:rsid w:val="00DE2FEE"/>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C5D4D"/>
    <w:rsid w:val="00ED36FD"/>
    <w:rsid w:val="00ED5DA5"/>
    <w:rsid w:val="00EE4C1D"/>
    <w:rsid w:val="00EF3685"/>
    <w:rsid w:val="00F04350"/>
    <w:rsid w:val="00F133DB"/>
    <w:rsid w:val="00F159EB"/>
    <w:rsid w:val="00F25BF4"/>
    <w:rsid w:val="00F267DB"/>
    <w:rsid w:val="00F3188D"/>
    <w:rsid w:val="00F36489"/>
    <w:rsid w:val="00F401A0"/>
    <w:rsid w:val="00F46F6F"/>
    <w:rsid w:val="00F60608"/>
    <w:rsid w:val="00F62217"/>
    <w:rsid w:val="00FB17A9"/>
    <w:rsid w:val="00FB527C"/>
    <w:rsid w:val="00FB6F75"/>
    <w:rsid w:val="00FC0EB3"/>
    <w:rsid w:val="00FC723E"/>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6E678C79-DEE8-4F86-8804-90B6700AC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1CAC"/>
    <w:pPr>
      <w:keepNext/>
      <w:numPr>
        <w:numId w:val="46"/>
      </w:numPr>
      <w:spacing w:before="240" w:after="240"/>
      <w:ind w:left="357" w:hanging="357"/>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0C1CAC"/>
    <w:pPr>
      <w:numPr>
        <w:ilvl w:val="1"/>
        <w:numId w:val="37"/>
      </w:numPr>
      <w:spacing w:before="120" w:after="120"/>
      <w:outlineLvl w:val="1"/>
    </w:pPr>
    <w:rPr>
      <w:rFonts w:ascii="Calibri" w:hAnsi="Calibri"/>
      <w:b/>
      <w:color w:val="0070C0"/>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1CAC"/>
    <w:rPr>
      <w:rFonts w:cs="Calibri"/>
      <w:b/>
      <w:caps/>
      <w:color w:val="0070C0"/>
      <w:kern w:val="28"/>
      <w:sz w:val="24"/>
      <w:szCs w:val="22"/>
      <w:lang w:eastAsia="de-DE"/>
    </w:rPr>
  </w:style>
  <w:style w:type="character" w:customStyle="1" w:styleId="Heading2Char">
    <w:name w:val="Heading 2 Char"/>
    <w:link w:val="Heading2"/>
    <w:rsid w:val="000C1CAC"/>
    <w:rPr>
      <w:rFonts w:cs="Calibri"/>
      <w:b/>
      <w:color w:val="0070C0"/>
      <w:sz w:val="22"/>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numbering" w:customStyle="1" w:styleId="Formatvorlage1">
    <w:name w:val="Formatvorlage1"/>
    <w:uiPriority w:val="99"/>
    <w:rsid w:val="00AF40A0"/>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4FB07-F79F-45DC-9546-17F01C6A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1145</Words>
  <Characters>6533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Wasser- und Schifffahrtsamt Wilhelmshaven</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3</cp:revision>
  <cp:lastPrinted>2018-11-20T09:27:00Z</cp:lastPrinted>
  <dcterms:created xsi:type="dcterms:W3CDTF">2019-03-07T06:30:00Z</dcterms:created>
  <dcterms:modified xsi:type="dcterms:W3CDTF">2019-03-19T10:34:00Z</dcterms:modified>
</cp:coreProperties>
</file>